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c547e67a1f9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248"/>
        <w:gridCol w:w="5580"/>
      </w:tblGrid>
      <w:tr w:rsidR="00D13716" w:rsidRPr="00D13716" w:rsidTr="0009676F">
        <w:tc>
          <w:tcPr>
            <w:tcW w:w="4248" w:type="dxa"/>
          </w:tcPr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716">
              <w:rPr>
                <w:rFonts w:ascii="Times New Roman" w:hAnsi="Times New Roman" w:cs="Times New Roman"/>
                <w:b/>
              </w:rPr>
              <w:t>TẬP ĐOÀN SÔNG ĐÀ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716">
              <w:rPr>
                <w:rFonts w:ascii="Times New Roman" w:hAnsi="Times New Roman" w:cs="Times New Roman"/>
                <w:b/>
              </w:rPr>
              <w:t>CÔNG TY CỔ PHẦN SÔNG ĐÀ 5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716">
              <w:rPr>
                <w:rFonts w:ascii="Times New Roman" w:hAnsi="Times New Roman" w:cs="Times New Roman"/>
              </w:rPr>
              <w:t>*****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 xml:space="preserve">Số:    </w:t>
            </w:r>
            <w:r w:rsidR="00857373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 xml:space="preserve">    /SĐ5- TCKT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3716">
              <w:rPr>
                <w:rFonts w:ascii="Times New Roman" w:hAnsi="Times New Roman" w:cs="Times New Roman"/>
                <w:i/>
                <w:sz w:val="20"/>
                <w:szCs w:val="20"/>
              </w:rPr>
              <w:t>V/v: Giải trình CL lợi nhuận Quý III  và năm 2012 tăng hơn 10% so với cùng kỳ năm trước</w:t>
            </w:r>
          </w:p>
        </w:tc>
        <w:tc>
          <w:tcPr>
            <w:tcW w:w="5580" w:type="dxa"/>
          </w:tcPr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716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3716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716">
              <w:rPr>
                <w:rFonts w:ascii="Times New Roman" w:hAnsi="Times New Roman" w:cs="Times New Roman"/>
              </w:rPr>
              <w:t>*********</w:t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716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BE1B47">
              <w:rPr>
                <w:rFonts w:ascii="Times New Roman" w:hAnsi="Times New Roman" w:cs="Times New Roman"/>
                <w:i/>
                <w:sz w:val="26"/>
                <w:szCs w:val="26"/>
              </w:rPr>
              <w:t>i, ngày 22</w:t>
            </w:r>
            <w:r w:rsidRPr="00D137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tháng10 năm 2012</w:t>
            </w:r>
          </w:p>
          <w:p w:rsidR="00D13716" w:rsidRPr="00D13716" w:rsidRDefault="00D13716" w:rsidP="00D13716">
            <w:pPr>
              <w:tabs>
                <w:tab w:val="left" w:pos="323"/>
                <w:tab w:val="center" w:pos="2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3716">
              <w:rPr>
                <w:rFonts w:ascii="Times New Roman" w:hAnsi="Times New Roman" w:cs="Times New Roman"/>
              </w:rPr>
              <w:tab/>
            </w:r>
          </w:p>
          <w:p w:rsidR="00D13716" w:rsidRPr="00D13716" w:rsidRDefault="00D13716" w:rsidP="00D13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13716" w:rsidRPr="00D13716" w:rsidRDefault="00D13716" w:rsidP="00D13716">
      <w:pPr>
        <w:spacing w:after="0" w:line="240" w:lineRule="auto"/>
        <w:rPr>
          <w:rFonts w:ascii="Times New Roman" w:hAnsi="Times New Roman" w:cs="Times New Roman"/>
        </w:rPr>
      </w:pPr>
    </w:p>
    <w:p w:rsidR="00D13716" w:rsidRPr="00D13716" w:rsidRDefault="00D13716" w:rsidP="00D13716">
      <w:pPr>
        <w:spacing w:after="0" w:line="240" w:lineRule="auto"/>
        <w:ind w:left="1020"/>
        <w:rPr>
          <w:rFonts w:ascii="Times New Roman" w:hAnsi="Times New Roman" w:cs="Times New Roman"/>
          <w:b/>
          <w:sz w:val="26"/>
          <w:szCs w:val="26"/>
        </w:rPr>
      </w:pPr>
      <w:r w:rsidRPr="00D13716">
        <w:rPr>
          <w:rFonts w:ascii="Times New Roman" w:hAnsi="Times New Roman" w:cs="Times New Roman"/>
          <w:b/>
          <w:sz w:val="26"/>
          <w:szCs w:val="26"/>
        </w:rPr>
        <w:t>Kính gửi: - UỶ BAN CHỨNG KHOÁN NHÀ NƯỚC</w:t>
      </w:r>
    </w:p>
    <w:p w:rsidR="00D13716" w:rsidRPr="00D13716" w:rsidRDefault="00D13716" w:rsidP="00D1371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D13716">
        <w:rPr>
          <w:rFonts w:ascii="Times New Roman" w:hAnsi="Times New Roman" w:cs="Times New Roman"/>
          <w:b/>
          <w:sz w:val="26"/>
          <w:szCs w:val="26"/>
        </w:rPr>
        <w:t>- SỞ GIAO DỊCH CHỨNG KHOÁN HÀ NỘI</w:t>
      </w:r>
    </w:p>
    <w:p w:rsidR="00D13716" w:rsidRPr="00D13716" w:rsidRDefault="00D13716" w:rsidP="00D13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716" w:rsidRPr="00D13716" w:rsidRDefault="00D13716" w:rsidP="00D13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  <w:u w:val="single"/>
        </w:rPr>
        <w:t>Căn cứ</w:t>
      </w:r>
      <w:r w:rsidRPr="00D13716">
        <w:rPr>
          <w:rFonts w:ascii="Times New Roman" w:hAnsi="Times New Roman" w:cs="Times New Roman"/>
          <w:sz w:val="26"/>
          <w:szCs w:val="26"/>
        </w:rPr>
        <w:t>:</w:t>
      </w:r>
    </w:p>
    <w:p w:rsidR="00D13716" w:rsidRPr="00D13716" w:rsidRDefault="00D13716" w:rsidP="00D13716">
      <w:pPr>
        <w:numPr>
          <w:ilvl w:val="0"/>
          <w:numId w:val="2"/>
        </w:numPr>
        <w:tabs>
          <w:tab w:val="clear" w:pos="1620"/>
          <w:tab w:val="num" w:pos="720"/>
        </w:tabs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 xml:space="preserve">Luật Chứng khoán số 70/2006/QH11 ngày 29/06/2006 của Quốc Hội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D13716">
            <w:rPr>
              <w:rFonts w:ascii="Times New Roman" w:hAnsi="Times New Roman" w:cs="Times New Roman"/>
              <w:sz w:val="26"/>
              <w:szCs w:val="26"/>
            </w:rPr>
            <w:t>Nam</w:t>
          </w:r>
        </w:smartTag>
      </w:smartTag>
      <w:r w:rsidRPr="00D13716">
        <w:rPr>
          <w:rFonts w:ascii="Times New Roman" w:hAnsi="Times New Roman" w:cs="Times New Roman"/>
          <w:sz w:val="26"/>
          <w:szCs w:val="26"/>
        </w:rPr>
        <w:t>;</w:t>
      </w:r>
    </w:p>
    <w:p w:rsidR="00D13716" w:rsidRPr="00D13716" w:rsidRDefault="00D13716" w:rsidP="00D13716">
      <w:pPr>
        <w:numPr>
          <w:ilvl w:val="0"/>
          <w:numId w:val="2"/>
        </w:numPr>
        <w:tabs>
          <w:tab w:val="clear" w:pos="1620"/>
          <w:tab w:val="num" w:pos="720"/>
        </w:tabs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Thông tư số 52/2012/TT-BTC ngày 05/04/2012 của Bộ Tài Chính hướng dẫn về việc công bố thông tin trên thị trường chứng khoán;</w:t>
      </w:r>
    </w:p>
    <w:p w:rsidR="00D13716" w:rsidRPr="00D13716" w:rsidRDefault="00D13716" w:rsidP="00D13716">
      <w:pPr>
        <w:numPr>
          <w:ilvl w:val="0"/>
          <w:numId w:val="2"/>
        </w:numPr>
        <w:tabs>
          <w:tab w:val="clear" w:pos="1620"/>
          <w:tab w:val="num" w:pos="720"/>
        </w:tabs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Điều lệ tổ chức và hoạt động của Công ty cổ phần Sông Đà 5.</w:t>
      </w:r>
    </w:p>
    <w:p w:rsidR="00D13716" w:rsidRPr="00D13716" w:rsidRDefault="00D13716" w:rsidP="00D13716">
      <w:pPr>
        <w:numPr>
          <w:ilvl w:val="0"/>
          <w:numId w:val="2"/>
        </w:numPr>
        <w:tabs>
          <w:tab w:val="clear" w:pos="1620"/>
          <w:tab w:val="num" w:pos="720"/>
        </w:tabs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Báo cáo tài chính công ty mẹ</w:t>
      </w:r>
      <w:r w:rsidRPr="00D13716">
        <w:rPr>
          <w:rFonts w:ascii="Times New Roman" w:hAnsi="Times New Roman" w:cs="Times New Roman"/>
        </w:rPr>
        <w:t xml:space="preserve"> </w:t>
      </w:r>
      <w:r w:rsidRPr="00D13716">
        <w:rPr>
          <w:rFonts w:ascii="Times New Roman" w:hAnsi="Times New Roman" w:cs="Times New Roman"/>
          <w:sz w:val="26"/>
          <w:szCs w:val="26"/>
        </w:rPr>
        <w:t>quý III và năm 2012.</w:t>
      </w:r>
    </w:p>
    <w:p w:rsidR="00D13716" w:rsidRPr="00D13716" w:rsidRDefault="00D13716" w:rsidP="00D13716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6"/>
          <w:szCs w:val="26"/>
        </w:rPr>
      </w:pPr>
    </w:p>
    <w:p w:rsidR="00D13716" w:rsidRPr="00D13716" w:rsidRDefault="00D13716" w:rsidP="00D13716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 xml:space="preserve">Công ty CP Sông Đà 5 làm công văn xin giải trình chênh lệch Lợi nhuận sau thuế quý III năm 2012 tăng  hơn 10% so với cùng kỳ quý III  năm 2011 như sau: </w:t>
      </w:r>
    </w:p>
    <w:p w:rsidR="00D13716" w:rsidRPr="00D13716" w:rsidRDefault="00D13716" w:rsidP="00D13716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</w:r>
      <w:r w:rsidRPr="00D13716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13716">
        <w:rPr>
          <w:rFonts w:ascii="Times New Roman" w:hAnsi="Times New Roman" w:cs="Times New Roman"/>
          <w:i/>
          <w:sz w:val="26"/>
          <w:szCs w:val="26"/>
        </w:rPr>
        <w:t>ĐVT: Triệu đồng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2"/>
        <w:gridCol w:w="2396"/>
        <w:gridCol w:w="2393"/>
      </w:tblGrid>
      <w:tr w:rsidR="00D13716" w:rsidRPr="00D13716" w:rsidTr="0009676F"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b/>
                <w:sz w:val="26"/>
                <w:szCs w:val="26"/>
              </w:rPr>
              <w:t>Lợi nhuận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b/>
                <w:sz w:val="26"/>
                <w:szCs w:val="26"/>
              </w:rPr>
              <w:t>Năm 2011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b/>
                <w:sz w:val="26"/>
                <w:szCs w:val="26"/>
              </w:rPr>
              <w:t>Năm 2012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b/>
                <w:sz w:val="26"/>
                <w:szCs w:val="26"/>
              </w:rPr>
              <w:t>% tăng</w:t>
            </w:r>
          </w:p>
        </w:tc>
      </w:tr>
      <w:tr w:rsidR="00D13716" w:rsidRPr="00D13716" w:rsidTr="0009676F"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>Lợi nhuận quý III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>7.709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>15.951</w:t>
            </w:r>
          </w:p>
        </w:tc>
        <w:tc>
          <w:tcPr>
            <w:tcW w:w="2439" w:type="dxa"/>
          </w:tcPr>
          <w:p w:rsidR="00D13716" w:rsidRPr="00D13716" w:rsidRDefault="00D13716" w:rsidP="00D1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716">
              <w:rPr>
                <w:rFonts w:ascii="Times New Roman" w:hAnsi="Times New Roman" w:cs="Times New Roman"/>
                <w:sz w:val="26"/>
                <w:szCs w:val="26"/>
              </w:rPr>
              <w:t>107%</w:t>
            </w:r>
          </w:p>
        </w:tc>
      </w:tr>
    </w:tbl>
    <w:p w:rsidR="00D13716" w:rsidRPr="00D13716" w:rsidRDefault="00D13716" w:rsidP="00D13716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Nguyên nhân do:</w:t>
      </w:r>
    </w:p>
    <w:p w:rsidR="00D13716" w:rsidRPr="00D13716" w:rsidRDefault="00D13716" w:rsidP="00D13716">
      <w:pPr>
        <w:numPr>
          <w:ilvl w:val="0"/>
          <w:numId w:val="2"/>
        </w:numPr>
        <w:spacing w:before="120" w:after="0" w:line="240" w:lineRule="auto"/>
        <w:ind w:left="1622" w:hanging="902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 xml:space="preserve">Trong quý III năm 2012, Công ty tập trung thu vốn ở công trình trọng điểm Lai Châu và các công trình khác. Do trong quá trình sản xuất, công ty có các phương pháp </w:t>
      </w:r>
      <w:r w:rsidR="00380948">
        <w:rPr>
          <w:rFonts w:ascii="Times New Roman" w:hAnsi="Times New Roman" w:cs="Times New Roman"/>
          <w:sz w:val="26"/>
          <w:szCs w:val="26"/>
        </w:rPr>
        <w:t>giao kho</w:t>
      </w:r>
      <w:r w:rsidR="00380948" w:rsidRPr="00380948">
        <w:rPr>
          <w:rFonts w:ascii="Times New Roman" w:hAnsi="Times New Roman" w:cs="Times New Roman"/>
          <w:sz w:val="26"/>
          <w:szCs w:val="26"/>
        </w:rPr>
        <w:t>án</w:t>
      </w:r>
      <w:r w:rsidR="00380948">
        <w:rPr>
          <w:rFonts w:ascii="Times New Roman" w:hAnsi="Times New Roman" w:cs="Times New Roman"/>
          <w:sz w:val="26"/>
          <w:szCs w:val="26"/>
        </w:rPr>
        <w:t xml:space="preserve">, </w:t>
      </w:r>
      <w:r w:rsidRPr="00D13716">
        <w:rPr>
          <w:rFonts w:ascii="Times New Roman" w:hAnsi="Times New Roman" w:cs="Times New Roman"/>
          <w:sz w:val="26"/>
          <w:szCs w:val="26"/>
        </w:rPr>
        <w:t>quả</w:t>
      </w:r>
      <w:r w:rsidR="00380948">
        <w:rPr>
          <w:rFonts w:ascii="Times New Roman" w:hAnsi="Times New Roman" w:cs="Times New Roman"/>
          <w:sz w:val="26"/>
          <w:szCs w:val="26"/>
        </w:rPr>
        <w:t>n tr</w:t>
      </w:r>
      <w:r w:rsidR="00380948" w:rsidRPr="00380948">
        <w:rPr>
          <w:rFonts w:ascii="Times New Roman" w:hAnsi="Times New Roman" w:cs="Times New Roman"/>
          <w:sz w:val="26"/>
          <w:szCs w:val="26"/>
        </w:rPr>
        <w:t>ị</w:t>
      </w:r>
      <w:r w:rsidRPr="00D13716">
        <w:rPr>
          <w:rFonts w:ascii="Times New Roman" w:hAnsi="Times New Roman" w:cs="Times New Roman"/>
          <w:sz w:val="26"/>
          <w:szCs w:val="26"/>
        </w:rPr>
        <w:t xml:space="preserve"> hợp lý dẫn đến tiết kiệm chi phí, giảm giá thành sản phẩm.</w:t>
      </w:r>
    </w:p>
    <w:p w:rsidR="00D13716" w:rsidRPr="00D13716" w:rsidRDefault="00D13716" w:rsidP="00D13716">
      <w:pPr>
        <w:numPr>
          <w:ilvl w:val="0"/>
          <w:numId w:val="2"/>
        </w:numPr>
        <w:spacing w:before="120" w:after="0" w:line="240" w:lineRule="auto"/>
        <w:ind w:left="1622" w:hanging="902"/>
        <w:jc w:val="both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Công ty đẩy nhanh công tác nghiệm thu thanh toán đồng thời tiết kiệm chi phí chung trong hoạt động sản xuất.</w:t>
      </w:r>
    </w:p>
    <w:p w:rsidR="00D13716" w:rsidRPr="00D13716" w:rsidRDefault="00D13716" w:rsidP="00D1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716" w:rsidRPr="00D13716" w:rsidRDefault="00D13716" w:rsidP="00D13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716">
        <w:rPr>
          <w:rFonts w:ascii="Times New Roman" w:hAnsi="Times New Roman" w:cs="Times New Roman"/>
          <w:sz w:val="26"/>
          <w:szCs w:val="26"/>
        </w:rPr>
        <w:t>Xin trân trọng giải trình!</w:t>
      </w:r>
    </w:p>
    <w:p w:rsidR="00D13716" w:rsidRPr="00D13716" w:rsidRDefault="00D13716" w:rsidP="00D13716">
      <w:pP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p w:rsidR="00D13716" w:rsidRPr="00D13716" w:rsidRDefault="00D13716" w:rsidP="00D13716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3716">
        <w:rPr>
          <w:rFonts w:ascii="Times New Roman" w:hAnsi="Times New Roman" w:cs="Times New Roman"/>
          <w:b/>
          <w:i/>
          <w:sz w:val="26"/>
          <w:szCs w:val="26"/>
          <w:u w:val="single"/>
        </w:rPr>
        <w:t>Nơi nhận</w:t>
      </w:r>
      <w:r w:rsidRPr="00D13716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</w:t>
      </w:r>
      <w:r w:rsidRPr="00D13716">
        <w:rPr>
          <w:rFonts w:ascii="Times New Roman" w:hAnsi="Times New Roman" w:cs="Times New Roman"/>
          <w:b/>
          <w:sz w:val="26"/>
          <w:szCs w:val="26"/>
        </w:rPr>
        <w:t>CÔNG TY CP SÔNG ĐÀ 5</w:t>
      </w:r>
    </w:p>
    <w:p w:rsidR="00D13716" w:rsidRPr="00D13716" w:rsidRDefault="00D13716" w:rsidP="00D1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3716">
        <w:rPr>
          <w:rFonts w:ascii="Times New Roman" w:hAnsi="Times New Roman" w:cs="Times New Roman"/>
          <w:sz w:val="20"/>
          <w:szCs w:val="20"/>
        </w:rPr>
        <w:t>Như KG</w:t>
      </w:r>
      <w:r w:rsidRPr="00D13716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13716">
        <w:rPr>
          <w:rFonts w:ascii="Times New Roman" w:hAnsi="Times New Roman" w:cs="Times New Roman"/>
          <w:b/>
          <w:sz w:val="26"/>
          <w:szCs w:val="26"/>
        </w:rPr>
        <w:t>TỔNG GIÁM ĐỐC</w:t>
      </w:r>
    </w:p>
    <w:p w:rsidR="00D13716" w:rsidRPr="00D13716" w:rsidRDefault="00D13716" w:rsidP="00D1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716">
        <w:rPr>
          <w:rFonts w:ascii="Times New Roman" w:hAnsi="Times New Roman" w:cs="Times New Roman"/>
          <w:sz w:val="20"/>
          <w:szCs w:val="20"/>
        </w:rPr>
        <w:t>Lưu TCKT.</w:t>
      </w:r>
    </w:p>
    <w:p w:rsidR="00880572" w:rsidRPr="00D13716" w:rsidRDefault="00880572" w:rsidP="00D13716">
      <w:pPr>
        <w:spacing w:after="0" w:line="240" w:lineRule="auto"/>
        <w:rPr>
          <w:rFonts w:ascii="Times New Roman" w:hAnsi="Times New Roman" w:cs="Times New Roman"/>
        </w:rPr>
      </w:pPr>
    </w:p>
    <w:sectPr w:rsidR="00880572" w:rsidRPr="00D13716" w:rsidSect="00D4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C4B"/>
    <w:multiLevelType w:val="hybridMultilevel"/>
    <w:tmpl w:val="C37270E4"/>
    <w:lvl w:ilvl="0" w:tplc="9440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717699"/>
    <w:multiLevelType w:val="hybridMultilevel"/>
    <w:tmpl w:val="F520848C"/>
    <w:lvl w:ilvl="0" w:tplc="E5ACBB0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3716"/>
    <w:rsid w:val="00380948"/>
    <w:rsid w:val="00556E92"/>
    <w:rsid w:val="00857373"/>
    <w:rsid w:val="00880572"/>
    <w:rsid w:val="00BE1B47"/>
    <w:rsid w:val="00D13716"/>
    <w:rsid w:val="00D43041"/>
    <w:rsid w:val="00E7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http://hocdiary.com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2012-10-22T04:09:00Z</dcterms:created>
  <dcterms:modified xsi:type="dcterms:W3CDTF">2012-10-22T06:25:00Z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e7c63480725424f883206c13aaae7ce.psdsxs" Id="R228b5095840e4cb1" /></Relationships>
</file>